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63E3" w:rsidRPr="00B863E3" w:rsidRDefault="00B863E3" w:rsidP="00B863E3">
      <w:pPr>
        <w:rPr>
          <w:rStyle w:val="Bold"/>
        </w:rPr>
      </w:pPr>
      <w:r w:rsidRPr="00B863E3">
        <w:rPr>
          <w:rStyle w:val="Bold"/>
        </w:rPr>
        <w:t>Objective</w:t>
      </w:r>
    </w:p>
    <w:p w:rsidR="00B863E3" w:rsidRDefault="00B863E3" w:rsidP="00B863E3">
      <w:r>
        <w:t>To investigate the functional condition of the blood vessels (endothelium-dependent vasodilatation and pulse wave velocity) and the central hemodynamics (CH) in healthy young people, depending on the type of circulation, defined by linear regression of blood pressure (BP) parameters.</w:t>
      </w:r>
    </w:p>
    <w:p w:rsidR="00B863E3" w:rsidRPr="00B863E3" w:rsidRDefault="00B863E3" w:rsidP="00B863E3">
      <w:r w:rsidRPr="00B863E3">
        <w:rPr>
          <w:b/>
          <w:bCs/>
        </w:rPr>
        <w:t xml:space="preserve"> </w:t>
      </w:r>
      <w:r w:rsidRPr="00B863E3">
        <w:rPr>
          <w:rStyle w:val="Bold"/>
        </w:rPr>
        <w:t>Materials and methods</w:t>
      </w:r>
    </w:p>
    <w:p w:rsidR="00B863E3" w:rsidRDefault="00B863E3" w:rsidP="00B863E3">
      <w:r>
        <w:t>A total of 120 outpatient healthy young adults and 45 hypertensive patients aged 24.5 ± 0.3 and 29.1 ± 0.7 years respectively were investigated as outpatients before the beginning of treatment. Daily measurements of BP were made several times, the BP set of each patient was used for linear regression, and the hemodynamic types were determined on its coefficients; endothelium-dependent vasodilatation, pulse wave velocity and CH parameters were investigated as well. For statistical processing we used Statistica. 10.0 software.</w:t>
      </w:r>
    </w:p>
    <w:p w:rsidR="00B863E3" w:rsidRPr="00B863E3" w:rsidRDefault="00B863E3" w:rsidP="00B863E3">
      <w:r w:rsidRPr="00B863E3">
        <w:rPr>
          <w:rStyle w:val="Bold"/>
        </w:rPr>
        <w:t>Results</w:t>
      </w:r>
      <w:r w:rsidRPr="00B863E3">
        <w:t xml:space="preserve"> </w:t>
      </w:r>
    </w:p>
    <w:p w:rsidR="00B863E3" w:rsidRDefault="00B863E3" w:rsidP="00B863E3">
      <w:r>
        <w:t xml:space="preserve">Regression analysis revealed dysfunctional hemodynamic types in 55.5% of hypertensive patients and in 25.8% of </w:t>
      </w:r>
      <w:bookmarkStart w:id="0" w:name="_GoBack"/>
      <w:bookmarkEnd w:id="0"/>
      <w:r>
        <w:t xml:space="preserve">healthy young people, the diastolic dysfunctional type was the most frequent one, and it was found in 20.0% of healthy individuals and in 51.1% of hypertensive patients. Diastolic dysfunctional type in clinically healthy persons represents a latent hemodynamic disorder related to functional vascular disturbances due to increased vascular stiffness. Unlike the harmonic one, this type of dysfunction is characterized with more frequent disturbances of the vasomotor endothelial function (moderate and expressed) and with increased pulse wave velocity (11.4 m/s and 8.1 m/s, respectively, p = 0.00), and there were no differences between normotensive and hypertensive patients (whereas for the harmonic type these differences were significant). Patients with firstly diagnosed AH and different hemodynamic types had similar characteristics of vascular function inside their groups that indicated the existence of different pathogenetic mechanisms responsible for development of these abnormalities.  Thus hemodynamic types defined by linear regression of BP parameters and the types of central hemodynamics represent different characteristics of the blood circulation and do not exclude each other. </w:t>
      </w:r>
    </w:p>
    <w:p w:rsidR="00B863E3" w:rsidRPr="00B863E3" w:rsidRDefault="00B863E3" w:rsidP="00B863E3">
      <w:r w:rsidRPr="00B863E3">
        <w:rPr>
          <w:rStyle w:val="Bold"/>
        </w:rPr>
        <w:t>Conclusion</w:t>
      </w:r>
    </w:p>
    <w:p w:rsidR="00B863E3" w:rsidRDefault="00B863E3" w:rsidP="00B863E3">
      <w:r>
        <w:t xml:space="preserve">Linear regression analysis of blood pressure parameters expands the possibilities for diagnosis of clinically latent hemodynamic disorders in normotensive individuals, such as dysfunctional types of the blood circulation, which are associated with functional vascular disorders and to a lesser extent </w:t>
      </w:r>
      <w:r>
        <w:rPr>
          <w:rStyle w:val="Italic"/>
          <w:i w:val="0"/>
          <w:iCs w:val="0"/>
        </w:rPr>
        <w:t>–</w:t>
      </w:r>
      <w:r>
        <w:t xml:space="preserve"> with disturbances of the central hemodynamics.</w:t>
      </w:r>
    </w:p>
    <w:p w:rsidR="00B863E3" w:rsidRPr="00B863E3" w:rsidRDefault="00B863E3" w:rsidP="00B863E3">
      <w:r w:rsidRPr="00B863E3">
        <w:rPr>
          <w:rStyle w:val="Bold"/>
        </w:rPr>
        <w:t>Keywords</w:t>
      </w:r>
    </w:p>
    <w:p w:rsidR="00B863E3" w:rsidRDefault="00B863E3" w:rsidP="00B863E3">
      <w:r>
        <w:t>Blood pressure, linear regression, circulatory types.</w:t>
      </w:r>
    </w:p>
    <w:p w:rsidR="006E455F" w:rsidRPr="00B863E3" w:rsidRDefault="006E455F" w:rsidP="00B863E3">
      <w:pPr>
        <w:rPr>
          <w:lang w:val="en-US"/>
        </w:rPr>
      </w:pPr>
    </w:p>
    <w:sectPr w:rsidR="006E455F" w:rsidRPr="00B863E3" w:rsidSect="00545B7D">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Bold">
    <w:panose1 w:val="020B0804020101020102"/>
    <w:charset w:val="00"/>
    <w:family w:val="swiss"/>
    <w:notTrueType/>
    <w:pitch w:val="variable"/>
    <w:sig w:usb0="A00002BF" w:usb1="4000207B" w:usb2="00000000" w:usb3="00000000" w:csb0="0000009F"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159"/>
    <w:rsid w:val="00131159"/>
    <w:rsid w:val="00135C68"/>
    <w:rsid w:val="006E455F"/>
    <w:rsid w:val="00B863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903C32-738E-4D4E-B54F-9025CCB9B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HeadStart">
    <w:name w:val="Lead Head (Start)"/>
    <w:basedOn w:val="a"/>
    <w:uiPriority w:val="99"/>
    <w:rsid w:val="00131159"/>
    <w:pPr>
      <w:keepNext/>
      <w:shd w:val="clear" w:color="auto" w:fill="ECECEB"/>
      <w:suppressAutoHyphens/>
      <w:autoSpaceDE w:val="0"/>
      <w:autoSpaceDN w:val="0"/>
      <w:adjustRightInd w:val="0"/>
      <w:spacing w:before="113" w:after="0" w:line="280" w:lineRule="atLeast"/>
      <w:ind w:left="113"/>
      <w:textAlignment w:val="center"/>
    </w:pPr>
    <w:rPr>
      <w:rFonts w:ascii="DINPro-Bold" w:hAnsi="DINPro-Bold" w:cs="DINPro-Bold"/>
      <w:b/>
      <w:bCs/>
      <w:color w:val="000000"/>
      <w:spacing w:val="2"/>
      <w:sz w:val="24"/>
      <w:szCs w:val="24"/>
      <w:lang w:val="en-US"/>
    </w:rPr>
  </w:style>
  <w:style w:type="paragraph" w:customStyle="1" w:styleId="LeadTextStart">
    <w:name w:val="LeadText (Start)"/>
    <w:basedOn w:val="a"/>
    <w:uiPriority w:val="99"/>
    <w:rsid w:val="00131159"/>
    <w:pPr>
      <w:shd w:val="clear" w:color="auto" w:fill="ECECEB"/>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Bold">
    <w:name w:val="Bold"/>
    <w:uiPriority w:val="99"/>
    <w:rsid w:val="00135C68"/>
    <w:rPr>
      <w:b/>
      <w:bCs/>
      <w:u w:val="none"/>
      <w:vertAlign w:val="baseline"/>
    </w:rPr>
  </w:style>
  <w:style w:type="character" w:customStyle="1" w:styleId="BoldItalic">
    <w:name w:val="Bold Italic"/>
    <w:uiPriority w:val="99"/>
    <w:rsid w:val="00135C68"/>
    <w:rPr>
      <w:b/>
      <w:bCs/>
      <w:i/>
      <w:iCs/>
    </w:rPr>
  </w:style>
  <w:style w:type="character" w:customStyle="1" w:styleId="Italic">
    <w:name w:val="Italic"/>
    <w:uiPriority w:val="99"/>
    <w:rsid w:val="00B863E3"/>
    <w:rPr>
      <w:i/>
      <w:iCs/>
      <w:u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387</Words>
  <Characters>2207</Characters>
  <Application>Microsoft Office Word</Application>
  <DocSecurity>0</DocSecurity>
  <Lines>18</Lines>
  <Paragraphs>5</Paragraphs>
  <ScaleCrop>false</ScaleCrop>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2020-02-18T09:45:00Z</dcterms:created>
  <dcterms:modified xsi:type="dcterms:W3CDTF">2020-02-18T09:45:00Z</dcterms:modified>
</cp:coreProperties>
</file>